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Lee Richard Melvin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CARDINAL INFRASTRUCTURE GROUP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 SIX FORKS ROAD,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Cardinal Infrastructure Group Inc.</w:t>
              </w:r>
            </w:hyperlink>
            <w:r>
              <w:rPr/>
              <w:t xml:space="preserve"> [ </w:t>
            </w:r>
            <w:r>
              <w:rPr>
                <w:rFonts w:ascii="Times;serif" w:hAnsi="Times;serif"/>
                <w:color w:val="0000FF"/>
                <w:sz w:val="24"/>
                <w:shd w:fill="FFFFFF" w:val="clear"/>
              </w:rPr>
              <w:t>CDNL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36.59</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61,254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37.73</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68,254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purchased in multiple transactions at prices ranging from $36.26 to $37.22, inclusive. The reporting person hereby undertakes to provide to Cardinal Infrastructure Group Inc., any security holder of Cardinal Infrastructure Group Inc., or the staff of the Securities and Exchange Commission, upon request, full information regarding the number of shares purchased at each separate price within the ranges set forth in footnote (1)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purchased in multiple transactions at prices ranging from $37.51 to $37.74, inclusive. The reporting person hereby undertakes to provide to Cardinal Infrastructure Group Inc., any security holder of Cardinal Infrastructure Group Inc., or the staff of the Securities and Exchange Commission, upon request, full information regarding the number of shares purchased at each separate price within the ranges set forth in footnote (2) of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Tiffany Gidley,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2630" TargetMode="External"/><Relationship Id="rId5" Type="http://schemas.openxmlformats.org/officeDocument/2006/relationships/hyperlink" Target="http://www.sec.gov/cgi-bin/browse-edgar?action=getcompany&amp;CIK=00020799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746</Words>
  <Characters>4050</Characters>
  <CharactersWithSpaces>4720</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